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F5" w:rsidRDefault="00AB35F5" w:rsidP="00AB35F5">
      <w:pPr>
        <w:spacing w:after="0" w:line="240" w:lineRule="auto"/>
        <w:jc w:val="center"/>
        <w:rPr>
          <w:sz w:val="26"/>
          <w:szCs w:val="20"/>
        </w:rPr>
      </w:pPr>
      <w:r w:rsidRPr="00AB35F5">
        <w:rPr>
          <w:sz w:val="26"/>
          <w:szCs w:val="20"/>
        </w:rPr>
        <w:t xml:space="preserve">Highlights of Webinar on Early Childhood Care and </w:t>
      </w:r>
      <w:r>
        <w:rPr>
          <w:sz w:val="26"/>
          <w:szCs w:val="20"/>
        </w:rPr>
        <w:t>Education</w:t>
      </w:r>
    </w:p>
    <w:p w:rsidR="00AB35F5" w:rsidRPr="00AB35F5" w:rsidRDefault="00AB35F5" w:rsidP="00AB35F5">
      <w:pPr>
        <w:spacing w:after="0" w:line="240" w:lineRule="auto"/>
        <w:jc w:val="center"/>
        <w:rPr>
          <w:sz w:val="26"/>
          <w:szCs w:val="20"/>
        </w:rPr>
      </w:pP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1.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 xml:space="preserve">Foundation of different learning models. </w:t>
      </w: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2.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>Teacher training and qualification</w:t>
      </w: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3.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>Curricular and Pedagogical Framework</w:t>
      </w: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4.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>Nutrit</w:t>
      </w:r>
      <w:r>
        <w:rPr>
          <w:b w:val="0"/>
          <w:bCs w:val="0"/>
          <w:sz w:val="26"/>
          <w:szCs w:val="20"/>
        </w:rPr>
        <w:t>i</w:t>
      </w:r>
      <w:r w:rsidRPr="00AB35F5">
        <w:rPr>
          <w:b w:val="0"/>
          <w:bCs w:val="0"/>
          <w:sz w:val="26"/>
          <w:szCs w:val="20"/>
        </w:rPr>
        <w:t xml:space="preserve">on during infancy </w:t>
      </w: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5.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>Food relationship in cognitive development</w:t>
      </w: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6.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 xml:space="preserve">Importance of first 1000 days </w:t>
      </w: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7.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 xml:space="preserve">Besides giving emphasis on what food to eat, we should also focus on what to learn. </w:t>
      </w: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>8.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>Language development, social skills through stories and role play</w:t>
      </w:r>
    </w:p>
    <w:p w:rsidR="00AB35F5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9.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 xml:space="preserve">Challenges in coordination and convergence. </w:t>
      </w:r>
    </w:p>
    <w:p w:rsidR="000A4C1C" w:rsidRPr="00AB35F5" w:rsidRDefault="00AB35F5" w:rsidP="00AB35F5">
      <w:pPr>
        <w:spacing w:after="0" w:line="240" w:lineRule="auto"/>
        <w:ind w:left="540" w:hanging="540"/>
        <w:rPr>
          <w:b w:val="0"/>
          <w:bCs w:val="0"/>
          <w:sz w:val="26"/>
          <w:szCs w:val="20"/>
        </w:rPr>
      </w:pPr>
      <w:r w:rsidRPr="00AB35F5">
        <w:rPr>
          <w:b w:val="0"/>
          <w:bCs w:val="0"/>
          <w:sz w:val="26"/>
          <w:szCs w:val="20"/>
        </w:rPr>
        <w:t xml:space="preserve">10. </w:t>
      </w:r>
      <w:r>
        <w:rPr>
          <w:b w:val="0"/>
          <w:bCs w:val="0"/>
          <w:sz w:val="26"/>
          <w:szCs w:val="20"/>
        </w:rPr>
        <w:tab/>
      </w:r>
      <w:r w:rsidRPr="00AB35F5">
        <w:rPr>
          <w:b w:val="0"/>
          <w:bCs w:val="0"/>
          <w:sz w:val="26"/>
          <w:szCs w:val="20"/>
        </w:rPr>
        <w:t>Government initiatives to assure good nutrition,</w:t>
      </w:r>
      <w:r>
        <w:rPr>
          <w:b w:val="0"/>
          <w:bCs w:val="0"/>
          <w:sz w:val="26"/>
          <w:szCs w:val="20"/>
        </w:rPr>
        <w:t xml:space="preserve"> </w:t>
      </w:r>
      <w:r w:rsidRPr="00AB35F5">
        <w:rPr>
          <w:b w:val="0"/>
          <w:bCs w:val="0"/>
          <w:sz w:val="26"/>
          <w:szCs w:val="20"/>
        </w:rPr>
        <w:t>quality ECC and improvising the condition of children in their early childhood.</w:t>
      </w:r>
    </w:p>
    <w:sectPr w:rsidR="000A4C1C" w:rsidRPr="00AB35F5" w:rsidSect="00FA7F8C">
      <w:pgSz w:w="11909" w:h="16834" w:code="9"/>
      <w:pgMar w:top="-432" w:right="475" w:bottom="576" w:left="864" w:header="720" w:footer="18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35F5"/>
    <w:rsid w:val="000A4C1C"/>
    <w:rsid w:val="000F55EF"/>
    <w:rsid w:val="001B664A"/>
    <w:rsid w:val="0023550E"/>
    <w:rsid w:val="0098383A"/>
    <w:rsid w:val="00AB35F5"/>
    <w:rsid w:val="00BB52E9"/>
    <w:rsid w:val="00C23EE6"/>
    <w:rsid w:val="00C55738"/>
    <w:rsid w:val="00C94202"/>
    <w:rsid w:val="00D10A92"/>
    <w:rsid w:val="00D8542C"/>
    <w:rsid w:val="00FA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Mangal"/>
        <w:b/>
        <w:bCs/>
        <w:sz w:val="28"/>
        <w:szCs w:val="22"/>
        <w:lang w:val="en-US" w:eastAsia="en-US" w:bidi="ar-SA"/>
      </w:rPr>
    </w:rPrDefault>
    <w:pPrDefault>
      <w:pPr>
        <w:spacing w:after="200" w:line="276" w:lineRule="auto"/>
        <w:ind w:left="994" w:right="-8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KVG</dc:creator>
  <cp:lastModifiedBy>KVG</cp:lastModifiedBy>
  <cp:revision>1</cp:revision>
  <dcterms:created xsi:type="dcterms:W3CDTF">2020-09-28T07:19:00Z</dcterms:created>
  <dcterms:modified xsi:type="dcterms:W3CDTF">2020-09-28T07:21:00Z</dcterms:modified>
</cp:coreProperties>
</file>